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26-231</w:t>
      </w:r>
    </w:p>
    <w:p>
      <w:pPr>
        <w:spacing w:before="0" w:after="0" w:line="480"/>
        <w:ind w:left="120"/>
        <w:jc w:val="left"/>
      </w:pPr>
    </w:p>
    <w:p>
      <w:pPr>
        <w:spacing w:before="0" w:after="0" w:line="480"/>
        <w:ind w:left="120"/>
        <w:jc w:val="center"/>
      </w:pPr>
      <w:r>
        <w:rPr>
          <w:rFonts w:ascii="Times New Roman" w:hAnsi="Times New Roman"/>
          <w:b/>
          <w:i w:val="false"/>
          <w:color w:val="000000"/>
          <w:sz w:val="28"/>
        </w:rPr>
        <w:t>EMPLOYMENT APPEAL BOARD[486]</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486—Chapter 13</w:t>
      </w:r>
    </w:p>
    <w:p>
      <w:pPr>
        <w:spacing w:before="0" w:after="0" w:line="480"/>
        <w:ind w:left="120"/>
        <w:jc w:val="center"/>
      </w:pPr>
      <w:r>
        <w:rPr>
          <w:rFonts w:ascii="Times New Roman" w:hAnsi="Times New Roman"/>
          <w:b w:val="false"/>
          <w:i w:val="false"/>
          <w:color w:val="000000"/>
          <w:sz w:val="24"/>
        </w:rPr>
        <w:t>“Negotiations and Negotiability Disputes”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20.6(5)</w:t>
      </w:r>
    </w:p>
    <w:p>
      <w:pPr>
        <w:spacing w:before="0" w:after="0" w:line="480"/>
        <w:ind w:left="120"/>
        <w:jc w:val="both"/>
      </w:pPr>
      <w:r>
        <w:rPr>
          <w:rFonts w:ascii="Times New Roman" w:hAnsi="Times New Roman"/>
          <w:b w:val="false"/>
          <w:i w:val="false"/>
          <w:color w:val="000000"/>
          <w:sz w:val="24"/>
        </w:rPr>
        <w:t>State or federal law(s) implemented by the rulemaking: 2024 Iowa Acts, Senate File 2385, and Iowa Code chapter 20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24, 2026</w:t>
            </w:r>
            <w:r>
              <w:br/>
            </w:r>
            <w:r>
              <w:rPr>
                <w:rFonts w:ascii="Times New Roman" w:hAnsi="Times New Roman"/>
                <w:b w:val="false"/>
                <w:i w:val="false"/>
                <w:color w:val="000000"/>
                <w:sz w:val="14"/>
              </w:rPr>
              <w:t>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w:t>
            </w:r>
            <w:r>
              <w:br/>
            </w:r>
            <w:hyperlink r:id="rId4">
              <w:r>
                <w:rPr>
                  <w:rStyle w:val="Hyperlink"/>
                  <w:rFonts w:ascii="Times New Roman" w:hAnsi="Times New Roman"/>
                  <w:b w:val="false"/>
                  <w:i w:val="false"/>
                  <w:color w:val="0000ff"/>
                  <w:sz w:val="14"/>
                </w:rPr>
                <w:t>meet.google.com/hxy-euaj-uzq</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Employment Appeal Board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Christine Louis</w:t>
            </w:r>
            <w:r>
              <w:br/>
            </w:r>
            <w:r>
              <w:rPr>
                <w:rFonts w:ascii="Times New Roman" w:hAnsi="Times New Roman"/>
                <w:b w:val="false"/>
                <w:i w:val="false"/>
                <w:color w:val="000000"/>
                <w:sz w:val="14"/>
              </w:rPr>
              <w:t>Employment Appeal Board</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eab.elections@eab.iowa.gov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includes revisions to administrative rules based on the requirements of Executive Order 10 and statutory changes based on 2024 Iowa Acts, Senate File 2385. This proposed rulemaking provides procedural rules for quick resolution of negotiability disputes in public sector collective bargaining.</w:t>
      </w:r>
    </w:p>
    <w:p>
      <w:pPr>
        <w:spacing w:before="0" w:after="0" w:line="480"/>
        <w:ind w:left="120"/>
        <w:jc w:val="both"/>
      </w:pPr>
      <w:r>
        <w:rPr>
          <w:rFonts w:ascii="Times New Roman" w:hAnsi="Times New Roman"/>
          <w:b w:val="false"/>
          <w:i w:val="false"/>
          <w:color w:val="000000"/>
          <w:sz w:val="24"/>
        </w:rPr>
        <w:t>    This chapter is being moved from the legacy Public Employee Relations Board agency number [621] to a new chapter within the Employment Appeal Board agency number [486]. These rules were previously located in 621—Chapter 6.</w:t>
      </w:r>
    </w:p>
    <w:p>
      <w:pPr>
        <w:spacing w:before="0" w:after="0" w:line="480"/>
        <w:ind w:left="120"/>
        <w:jc w:val="both"/>
      </w:pPr>
      <w:r>
        <w:rPr>
          <w:rFonts w:ascii="Times New Roman" w:hAnsi="Times New Roman"/>
          <w:b w:val="false"/>
          <w:i w:val="false"/>
          <w:color w:val="000000"/>
          <w:sz w:val="24"/>
        </w:rPr>
        <w:t>    The rules under legacy agency number [621] are proposed to be rescinded and reserved herein (</w:t>
      </w:r>
      <w:r>
        <w:rPr>
          <w:rFonts w:ascii="Times New Roman" w:hAnsi="Times New Roman"/>
          <w:b/>
          <w:i w:val="false"/>
          <w:color w:val="000000"/>
          <w:sz w:val="24"/>
        </w:rPr>
        <w:t>RA 26-246</w:t>
      </w:r>
      <w:r>
        <w:rPr>
          <w:rFonts w:ascii="Times New Roman" w:hAnsi="Times New Roman"/>
          <w:b w:val="false"/>
          <w:i w:val="false"/>
          <w:color w:val="000000"/>
          <w:sz w:val="24"/>
        </w:rPr>
        <w:t>, IAB 8/19/26).</w:t>
      </w:r>
    </w:p>
    <w:p>
      <w:pPr>
        <w:spacing w:before="0" w:after="0" w:line="480"/>
        <w:ind w:left="120"/>
        <w:jc w:val="both"/>
      </w:pPr>
      <w:r>
        <w:rPr>
          <w:rFonts w:ascii="Times New Roman" w:hAnsi="Times New Roman"/>
          <w:b w:val="false"/>
          <w:i w:val="false"/>
          <w:color w:val="000000"/>
          <w:sz w:val="24"/>
        </w:rPr>
        <w:t xml:space="preserve">    The references to 486—Chapter 18 are to those as published herein as </w:t>
      </w:r>
      <w:r>
        <w:rPr>
          <w:rFonts w:ascii="Times New Roman" w:hAnsi="Times New Roman"/>
          <w:b/>
          <w:i w:val="false"/>
          <w:color w:val="000000"/>
          <w:sz w:val="24"/>
        </w:rPr>
        <w:t>RA 26-236</w:t>
      </w:r>
      <w:r>
        <w:rPr>
          <w:rFonts w:ascii="Times New Roman" w:hAnsi="Times New Roman"/>
          <w:b w:val="false"/>
          <w:i w:val="false"/>
          <w:color w:val="000000"/>
          <w:sz w:val="24"/>
        </w:rPr>
        <w:t>, IAB 8/19/26.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no additional expected cost to the State or individuals.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Public sector employers, employees, and employee organizations and Board staff will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changes are mandated by statute and executive order.</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expected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486—Chapter 13</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13</w:t>
      </w:r>
    </w:p>
    <w:p>
      <w:pPr>
        <w:spacing w:before="0" w:after="0" w:line="480"/>
        <w:ind w:left="120"/>
        <w:jc w:val="center"/>
      </w:pPr>
      <w:r>
        <w:rPr>
          <w:rFonts w:ascii="Times New Roman" w:hAnsi="Times New Roman"/>
          <w:b w:val="false"/>
          <w:i w:val="false"/>
          <w:color w:val="000000"/>
          <w:sz w:val="21"/>
        </w:rPr>
        <w:t>NEGOTIATIONS AND NEGOTIABILITY DISPUTES</w:t>
      </w:r>
    </w:p>
    <w:p>
      <w:pPr>
        <w:spacing w:before="0" w:after="0" w:line="480"/>
        <w:ind w:left="120"/>
        <w:jc w:val="both"/>
      </w:pPr>
      <w:r>
        <w:rPr>
          <w:rFonts w:ascii="Times New Roman" w:hAnsi="Times New Roman"/>
          <w:b/>
          <w:i w:val="false"/>
          <w:color w:val="000000"/>
          <w:sz w:val="24"/>
        </w:rPr>
        <w:t>486—13.1</w:t>
      </w:r>
      <w:r>
        <w:rPr>
          <w:rFonts w:ascii="Times New Roman" w:hAnsi="Times New Roman"/>
          <w:b/>
          <w:i w:val="false"/>
          <w:color w:val="000000"/>
          <w:sz w:val="24"/>
        </w:rPr>
        <w:t xml:space="preserve">(20) </w:t>
      </w:r>
      <w:r>
        <w:rPr>
          <w:rFonts w:ascii="Times New Roman" w:hAnsi="Times New Roman"/>
          <w:b/>
          <w:i w:val="false"/>
          <w:color w:val="000000"/>
          <w:sz w:val="24"/>
        </w:rPr>
        <w:t xml:space="preserve">Background.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For purposes of this chapter,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“Mandatory subject of collective bargaining”</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mandatory subjects of collective bargaining as described in Iowa Code section </w:t>
      </w:r>
      <w:hyperlink r:id="rId6">
        <w:r>
          <w:rPr>
            <w:rStyle w:val="Hyperlink"/>
            <w:rFonts w:ascii="Times New Roman" w:hAnsi="Times New Roman"/>
            <w:b w:val="false"/>
            <w:i w:val="false"/>
            <w:color w:val="000000"/>
            <w:sz w:val="24"/>
          </w:rPr>
          <w:t>20.9(1)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“Negotiability dispute”</w:t>
      </w:r>
      <w:r>
        <w:rPr>
          <w:rFonts w:ascii="Times New Roman" w:hAnsi="Times New Roman"/>
          <w:b w:val="false"/>
          <w:i/>
          <w:color w:val="000000"/>
          <w:sz w:val="24"/>
          <w:u w:val="single"/>
        </w:rPr>
        <w:t> </w:t>
      </w:r>
      <w:r>
        <w:rPr>
          <w:rFonts w:ascii="Times New Roman" w:hAnsi="Times New Roman"/>
          <w:b w:val="false"/>
          <w:i w:val="false"/>
          <w:color w:val="000000"/>
          <w:sz w:val="24"/>
        </w:rPr>
        <w:t>means a dispute arising in good faith during the course of collective bargaining as to whether a proposal made during bargaining is a mandatory, permissive, or prohibited subject of collective bargaining. Questions of negotiability that do not arise during the course of collective bargaining are not negotiability disputes.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“Permissive subject of collective bargaining”</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all other subjects of bargaining except those prohibited by Iowa Code section </w:t>
      </w:r>
      <w:hyperlink r:id="rId7">
        <w:r>
          <w:rPr>
            <w:rStyle w:val="Hyperlink"/>
            <w:rFonts w:ascii="Times New Roman" w:hAnsi="Times New Roman"/>
            <w:b w:val="false"/>
            <w:i w:val="false"/>
            <w:color w:val="000000"/>
            <w:sz w:val="24"/>
          </w:rPr>
          <w:t>20.9(3)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“Public safety employee”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public safety employee as defined in Iowa Code section </w:t>
      </w:r>
      <w:hyperlink r:id="rId8">
        <w:r>
          <w:rPr>
            <w:rStyle w:val="Hyperlink"/>
            <w:rFonts w:ascii="Times New Roman" w:hAnsi="Times New Roman"/>
            <w:b w:val="false"/>
            <w:i w:val="false"/>
            <w:color w:val="000000"/>
            <w:sz w:val="24"/>
          </w:rPr>
          <w:t>20.3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“Public safety unit”</w:t>
      </w:r>
      <w:r>
        <w:rPr>
          <w:rFonts w:ascii="Times New Roman" w:hAnsi="Times New Roman"/>
          <w:b w:val="false"/>
          <w:i/>
          <w:color w:val="000000"/>
          <w:sz w:val="24"/>
          <w:u w:val="single"/>
        </w:rPr>
        <w:t> </w:t>
      </w:r>
      <w:r>
        <w:rPr>
          <w:rFonts w:ascii="Times New Roman" w:hAnsi="Times New Roman"/>
          <w:b w:val="false"/>
          <w:i w:val="false"/>
          <w:color w:val="000000"/>
          <w:sz w:val="24"/>
        </w:rPr>
        <w:t>means a bargaining unit in which at least 30 percent of the employees are public safety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13.1(2)</w:t>
      </w:r>
      <w:r>
        <w:rPr>
          <w:rFonts w:ascii="Times New Roman" w:hAnsi="Times New Roman"/>
          <w:b w:val="false"/>
          <w:i w:val="false"/>
          <w:color w:val="000000"/>
          <w:sz w:val="24"/>
        </w:rPr>
        <w:t> </w:t>
      </w:r>
      <w:r>
        <w:rPr>
          <w:rFonts w:ascii="Times New Roman" w:hAnsi="Times New Roman"/>
          <w:b w:val="false"/>
          <w:i/>
          <w:color w:val="000000"/>
          <w:sz w:val="24"/>
        </w:rPr>
        <w:t xml:space="preserve">Scope of negotiations. </w:t>
      </w:r>
      <w:r>
        <w:rPr>
          <w:rFonts w:ascii="Times New Roman" w:hAnsi="Times New Roman"/>
          <w:b w:val="false"/>
          <w:i w:val="false"/>
          <w:color w:val="000000"/>
          <w:sz w:val="24"/>
        </w:rPr>
        <w:t>The scope of negotiations must include the mandatory subjects of collective bargaining. Either party may introduce permissive subjects for negotiation, and negotiation on these matters may continue until resolved by mutual agreement of the parties or until negotiations reach the arbitration stage of impasse; however, no party is required to negotiate on permissive subjects of bargaining. Unresolved permissive subjects of collective bargaining may be included in arbitration only upon mutual agreement. The agreement is not binding on the parties in future negotiations.</w:t>
      </w:r>
    </w:p>
    <w:p>
      <w:pPr>
        <w:spacing w:before="210" w:after="0" w:line="480"/>
        <w:ind w:left="120"/>
        <w:jc w:val="both"/>
      </w:pPr>
      <w:r>
        <w:rPr>
          <w:rFonts w:ascii="Times New Roman" w:hAnsi="Times New Roman"/>
          <w:b/>
          <w:i w:val="false"/>
          <w:color w:val="000000"/>
          <w:sz w:val="24"/>
        </w:rPr>
        <w:t>486—13.2</w:t>
      </w:r>
      <w:r>
        <w:rPr>
          <w:rFonts w:ascii="Times New Roman" w:hAnsi="Times New Roman"/>
          <w:b/>
          <w:i w:val="false"/>
          <w:color w:val="000000"/>
          <w:sz w:val="24"/>
        </w:rPr>
        <w:t xml:space="preserve">(20) </w:t>
      </w:r>
      <w:r>
        <w:rPr>
          <w:rFonts w:ascii="Times New Roman" w:hAnsi="Times New Roman"/>
          <w:b/>
          <w:i w:val="false"/>
          <w:color w:val="000000"/>
          <w:sz w:val="24"/>
        </w:rPr>
        <w:t xml:space="preserve">Consolidated negotiations. </w:t>
      </w:r>
      <w:r>
        <w:rPr>
          <w:rFonts w:ascii="Times New Roman" w:hAnsi="Times New Roman"/>
          <w:b w:val="false"/>
          <w:i w:val="false"/>
          <w:color w:val="000000"/>
          <w:sz w:val="24"/>
        </w:rPr>
        <w:t>Nothing in these rules prohibits, by agreement of the parties, more than one certified bargaining representative from bargaining jointly with a common public employer or more than one public employer from bargaining jointly with a common certified bargaining representative.</w:t>
      </w:r>
    </w:p>
    <w:p>
      <w:pPr>
        <w:spacing w:before="0" w:after="0" w:line="480"/>
        <w:ind w:left="120"/>
        <w:jc w:val="both"/>
      </w:pPr>
      <w:r>
        <w:rPr>
          <w:rFonts w:ascii="Times New Roman" w:hAnsi="Times New Roman"/>
          <w:b/>
          <w:i w:val="false"/>
          <w:color w:val="000000"/>
          <w:sz w:val="24"/>
        </w:rPr>
        <w:t>486—13.3</w:t>
      </w:r>
      <w:r>
        <w:rPr>
          <w:rFonts w:ascii="Times New Roman" w:hAnsi="Times New Roman"/>
          <w:b/>
          <w:i w:val="false"/>
          <w:color w:val="000000"/>
          <w:sz w:val="24"/>
        </w:rPr>
        <w:t xml:space="preserve">(20) </w:t>
      </w:r>
      <w:r>
        <w:rPr>
          <w:rFonts w:ascii="Times New Roman" w:hAnsi="Times New Roman"/>
          <w:b/>
          <w:i w:val="false"/>
          <w:color w:val="000000"/>
          <w:sz w:val="24"/>
        </w:rPr>
        <w:t xml:space="preserve">Negotiability disputes.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13.3(1)</w:t>
      </w:r>
      <w:r>
        <w:rPr>
          <w:rFonts w:ascii="Times New Roman" w:hAnsi="Times New Roman"/>
          <w:b w:val="false"/>
          <w:i w:val="false"/>
          <w:color w:val="000000"/>
          <w:sz w:val="24"/>
        </w:rPr>
        <w:t> </w:t>
      </w:r>
      <w:r>
        <w:rPr>
          <w:rFonts w:ascii="Times New Roman" w:hAnsi="Times New Roman"/>
          <w:b w:val="false"/>
          <w:i/>
          <w:color w:val="000000"/>
          <w:sz w:val="24"/>
        </w:rPr>
        <w:t xml:space="preserve">Petitions for expedited resolution.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public employer or certified employee organization may petition the appeal board for expedited resolution of a negotiability dispute. The petition must set forth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petitioner and the name, address, telephone number, and email address of the petitioner’s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respondent and the name, address, telephone number, and email address of the respondent’s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material facts of the dispute;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verbatim text of the proposal at issue.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petition must be filed in the applicable bargaining unit case number in the electronic document management system (EDMS) described in </w:t>
      </w:r>
      <w:hyperlink r:id="rId9">
        <w:r>
          <w:rPr>
            <w:rStyle w:val="Hyperlink"/>
            <w:rFonts w:ascii="Times New Roman" w:hAnsi="Times New Roman"/>
            <w:b w:val="false"/>
            <w:i w:val="false"/>
            <w:color w:val="000000"/>
            <w:sz w:val="24"/>
          </w:rPr>
          <w:t>486—Chapter 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13.3(2)</w:t>
      </w:r>
      <w:r>
        <w:rPr>
          <w:rFonts w:ascii="Times New Roman" w:hAnsi="Times New Roman"/>
          <w:b w:val="false"/>
          <w:i w:val="false"/>
          <w:color w:val="000000"/>
          <w:sz w:val="24"/>
        </w:rPr>
        <w:t> </w:t>
      </w:r>
      <w:r>
        <w:rPr>
          <w:rFonts w:ascii="Times New Roman" w:hAnsi="Times New Roman"/>
          <w:b w:val="false"/>
          <w:i/>
          <w:color w:val="000000"/>
          <w:sz w:val="24"/>
        </w:rPr>
        <w:t xml:space="preserve">Preliminary ruling. </w:t>
      </w:r>
      <w:r>
        <w:rPr>
          <w:rFonts w:ascii="Times New Roman" w:hAnsi="Times New Roman"/>
          <w:b w:val="false"/>
          <w:i w:val="false"/>
          <w:color w:val="000000"/>
          <w:sz w:val="24"/>
        </w:rPr>
        <w:t>The appeal board will give priority to a petition that involves a negotiability dispute. Parties may file informal position statements in support of their positions within the time specified by the appeal board, and the appeal board may set the matter for oral argument. The appeal board or appointed administrative law judge may issue a preliminary ruling, without analysis, that the proposal is mandatory, permissive, or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13.3(3)</w:t>
      </w:r>
      <w:r>
        <w:rPr>
          <w:rFonts w:ascii="Times New Roman" w:hAnsi="Times New Roman"/>
          <w:b w:val="false"/>
          <w:i w:val="false"/>
          <w:color w:val="000000"/>
          <w:sz w:val="24"/>
        </w:rPr>
        <w:t> </w:t>
      </w:r>
      <w:r>
        <w:rPr>
          <w:rFonts w:ascii="Times New Roman" w:hAnsi="Times New Roman"/>
          <w:b w:val="false"/>
          <w:i/>
          <w:color w:val="000000"/>
          <w:sz w:val="24"/>
        </w:rPr>
        <w:t xml:space="preserve">Final ruling. </w:t>
      </w:r>
      <w:r>
        <w:rPr>
          <w:rFonts w:ascii="Times New Roman" w:hAnsi="Times New Roman"/>
          <w:b w:val="false"/>
          <w:i w:val="false"/>
          <w:color w:val="000000"/>
          <w:sz w:val="24"/>
        </w:rPr>
        <w:t>Within 20 days following the issuance of a preliminary ruling, either party may request the appeal board to issue a final ruling, which will set forth the appeal board’s analysis and conclusions.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13.3(4)</w:t>
      </w:r>
      <w:r>
        <w:rPr>
          <w:rFonts w:ascii="Times New Roman" w:hAnsi="Times New Roman"/>
          <w:b w:val="false"/>
          <w:i w:val="false"/>
          <w:color w:val="000000"/>
          <w:sz w:val="24"/>
        </w:rPr>
        <w:t> </w:t>
      </w:r>
      <w:r>
        <w:rPr>
          <w:rFonts w:ascii="Times New Roman" w:hAnsi="Times New Roman"/>
          <w:b w:val="false"/>
          <w:i/>
          <w:color w:val="000000"/>
          <w:sz w:val="24"/>
        </w:rPr>
        <w:t xml:space="preserve">Arbitration. </w:t>
      </w:r>
      <w:r>
        <w:rPr>
          <w:rFonts w:ascii="Times New Roman" w:hAnsi="Times New Roman"/>
          <w:b w:val="false"/>
          <w:i w:val="false"/>
          <w:color w:val="000000"/>
          <w:sz w:val="24"/>
        </w:rPr>
        <w:t>Unless the dispute is resolved prior to the arbitration hearing, the parties shall present evidence on all items to the arbitrator, including the item that is the subject of the negotiability dispute. A negotiability dispute raised at the arbitration hearing must be upon written objection to the submission of the proposal to the arbitrator. The objection must state that the objecting party will file a petition for resolution of the dispute with the appeal board, which petition must be filed within five days of the making of the objection. Arbitrators shall rule on all items submitted to them, including the item that is the subject of the negotiability dispute, unless explicitly stayed by the appeal board. Arbitration awards issued prior to the final determination of the negotiability dispute are contingent upon the appeal board’s determination.</w:t>
      </w:r>
    </w:p>
    <w:p>
      <w:pPr>
        <w:spacing w:before="0" w:after="0" w:line="480"/>
        <w:ind w:left="120"/>
        <w:jc w:val="both"/>
      </w:pPr>
      <w:r>
        <w:rPr>
          <w:rFonts w:ascii="Times New Roman" w:hAnsi="Times New Roman"/>
          <w:b/>
          <w:i w:val="false"/>
          <w:color w:val="000000"/>
          <w:sz w:val="24"/>
        </w:rPr>
        <w:t>486—13.4</w:t>
      </w:r>
      <w:r>
        <w:rPr>
          <w:rFonts w:ascii="Times New Roman" w:hAnsi="Times New Roman"/>
          <w:b/>
          <w:i w:val="false"/>
          <w:color w:val="000000"/>
          <w:sz w:val="24"/>
        </w:rPr>
        <w:t xml:space="preserve">(20) </w:t>
      </w:r>
      <w:r>
        <w:rPr>
          <w:rFonts w:ascii="Times New Roman" w:hAnsi="Times New Roman"/>
          <w:b/>
          <w:i w:val="false"/>
          <w:color w:val="000000"/>
          <w:sz w:val="24"/>
        </w:rPr>
        <w:t xml:space="preserve">Public safety unit determination.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r>
        <w:rPr>
          <w:rFonts w:ascii="Times New Roman" w:hAnsi="Times New Roman"/>
          <w:b w:val="false"/>
          <w:i w:val="false"/>
          <w:color w:val="000000"/>
          <w:sz w:val="24"/>
        </w:rPr>
        <w:t>This rule applies only to bargaining units that include at least one public safety employee.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13.4(2)</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public safety unit status. </w:t>
      </w:r>
      <w:r>
        <w:rPr>
          <w:rFonts w:ascii="Times New Roman" w:hAnsi="Times New Roman"/>
          <w:b w:val="false"/>
          <w:i w:val="false"/>
          <w:color w:val="000000"/>
          <w:sz w:val="24"/>
        </w:rPr>
        <w:t xml:space="preserve">A bargaining unit will constitute a public safety unit if at least 30 percent of the employees in the unit were public safety employees at any one time in the six months preceding the applicable date identified in subrule </w:t>
      </w:r>
      <w:hyperlink r:id="rId10">
        <w:r>
          <w:rPr>
            <w:rStyle w:val="Hyperlink"/>
            <w:rFonts w:ascii="Times New Roman" w:hAnsi="Times New Roman"/>
            <w:b w:val="false"/>
            <w:i w:val="false"/>
            <w:color w:val="000000"/>
            <w:sz w:val="24"/>
          </w:rPr>
          <w:t>13.4(6)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13.4(3)</w:t>
      </w:r>
      <w:r>
        <w:rPr>
          <w:rFonts w:ascii="Times New Roman" w:hAnsi="Times New Roman"/>
          <w:b w:val="false"/>
          <w:i w:val="false"/>
          <w:color w:val="000000"/>
          <w:sz w:val="24"/>
        </w:rPr>
        <w:t> </w:t>
      </w:r>
      <w:r>
        <w:rPr>
          <w:rFonts w:ascii="Times New Roman" w:hAnsi="Times New Roman"/>
          <w:b w:val="false"/>
          <w:i/>
          <w:color w:val="000000"/>
          <w:sz w:val="24"/>
        </w:rPr>
        <w:t xml:space="preserve">Identification of public safety or nonpublic safety unit. </w:t>
      </w:r>
      <w:r>
        <w:rPr>
          <w:rFonts w:ascii="Times New Roman" w:hAnsi="Times New Roman"/>
          <w:b w:val="false"/>
          <w:i w:val="false"/>
          <w:color w:val="000000"/>
          <w:sz w:val="24"/>
        </w:rPr>
        <w:t>Parties engaging in negotiations for a collective bargaining agreement shall endeavor to agree upon and stipulate to the public safety or nonpublic safety status of the unit at issue.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13.4(4)</w:t>
      </w:r>
      <w:r>
        <w:rPr>
          <w:rFonts w:ascii="Times New Roman" w:hAnsi="Times New Roman"/>
          <w:b w:val="false"/>
          <w:i w:val="false"/>
          <w:color w:val="000000"/>
          <w:sz w:val="24"/>
        </w:rPr>
        <w:t> </w:t>
      </w:r>
      <w:r>
        <w:rPr>
          <w:rFonts w:ascii="Times New Roman" w:hAnsi="Times New Roman"/>
          <w:b w:val="false"/>
          <w:i/>
          <w:color w:val="000000"/>
          <w:sz w:val="24"/>
        </w:rPr>
        <w:t xml:space="preserve">Agreement and stipulation. </w:t>
      </w:r>
      <w:r>
        <w:rPr>
          <w:rFonts w:ascii="Times New Roman" w:hAnsi="Times New Roman"/>
          <w:b w:val="false"/>
          <w:i w:val="false"/>
          <w:color w:val="000000"/>
          <w:sz w:val="24"/>
        </w:rPr>
        <w:t xml:space="preserve">If the parties agree on the public safety status of the unit, the parties may complete a stipulation form prescribed by the appeal board. The stipulation must be signed by the authorized representatives of the parties, and either party may submit it to the appeal board by filing the stipulation under the applicable bargaining unit case number in the EDMS described in </w:t>
      </w:r>
      <w:hyperlink r:id="rId11">
        <w:r>
          <w:rPr>
            <w:rStyle w:val="Hyperlink"/>
            <w:rFonts w:ascii="Times New Roman" w:hAnsi="Times New Roman"/>
            <w:b w:val="false"/>
            <w:i w:val="false"/>
            <w:color w:val="000000"/>
            <w:sz w:val="24"/>
          </w:rPr>
          <w:t>486—Chapter 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13.4(5)</w:t>
      </w:r>
      <w:r>
        <w:rPr>
          <w:rFonts w:ascii="Times New Roman" w:hAnsi="Times New Roman"/>
          <w:b w:val="false"/>
          <w:i w:val="false"/>
          <w:color w:val="000000"/>
          <w:sz w:val="24"/>
        </w:rPr>
        <w:t> </w:t>
      </w:r>
      <w:r>
        <w:rPr>
          <w:rFonts w:ascii="Times New Roman" w:hAnsi="Times New Roman"/>
          <w:b w:val="false"/>
          <w:i/>
          <w:color w:val="000000"/>
          <w:sz w:val="24"/>
        </w:rPr>
        <w:t xml:space="preserve">Petition, response and hearing for determination of public safety or nonpublic safety unit status.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parties fail to agree, the party asserting public safety unit status may file a petition for determination of the unit status on or before the applicable date identified in subrule </w:t>
      </w:r>
      <w:hyperlink r:id="rId12">
        <w:r>
          <w:rPr>
            <w:rStyle w:val="Hyperlink"/>
            <w:rFonts w:ascii="Times New Roman" w:hAnsi="Times New Roman"/>
            <w:b w:val="false"/>
            <w:i w:val="false"/>
            <w:color w:val="000000"/>
            <w:sz w:val="24"/>
          </w:rPr>
          <w:t>13.4(6)</w:t>
        </w:r>
      </w:hyperlink>
      <w:r>
        <w:rPr>
          <w:rFonts w:ascii="Times New Roman" w:hAnsi="Times New Roman"/>
          <w:b w:val="false"/>
          <w:i w:val="false"/>
          <w:color w:val="000000"/>
          <w:sz w:val="24"/>
        </w:rPr>
        <w:t xml:space="preserve">. The petition must be electronically filed in accordance with </w:t>
      </w:r>
      <w:hyperlink r:id="rId13">
        <w:r>
          <w:rPr>
            <w:rStyle w:val="Hyperlink"/>
            <w:rFonts w:ascii="Times New Roman" w:hAnsi="Times New Roman"/>
            <w:b w:val="false"/>
            <w:i w:val="false"/>
            <w:color w:val="000000"/>
            <w:sz w:val="24"/>
          </w:rPr>
          <w:t>486—Chapter 18</w:t>
        </w:r>
      </w:hyperlink>
      <w:r>
        <w:rPr>
          <w:rFonts w:ascii="Times New Roman" w:hAnsi="Times New Roman"/>
          <w:b w:val="false"/>
          <w:i w:val="false"/>
          <w:color w:val="000000"/>
          <w:sz w:val="24"/>
        </w:rPr>
        <w:t>. The appeal board will promptly serve the other party by electronic means when possible or, where service by electronic means is not possible, by personal service as provided in the Iowa Rules of Civil Procedure; by certified mail, return receipt requested; by first-class mail; or by publication as provided in the Iowa Rules of Civil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nonpetitioning party shall, within ten days following the filing of the petition with the appeal board, file a response asserting its basis for identifying the unit as a nonpublic safety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appeal board will vote on whether to transmit the matter to the administrative hearings division created by Iowa Code section </w:t>
      </w:r>
      <w:hyperlink r:id="rId14">
        <w:r>
          <w:rPr>
            <w:rStyle w:val="Hyperlink"/>
            <w:rFonts w:ascii="Times New Roman" w:hAnsi="Times New Roman"/>
            <w:b w:val="false"/>
            <w:i w:val="false"/>
            <w:color w:val="000000"/>
            <w:sz w:val="24"/>
          </w:rPr>
          <w:t>10A.801</w:t>
        </w:r>
      </w:hyperlink>
      <w:r>
        <w:rPr>
          <w:rFonts w:ascii="Times New Roman" w:hAnsi="Times New Roman"/>
          <w:b w:val="false"/>
          <w:i w:val="false"/>
          <w:color w:val="000000"/>
          <w:sz w:val="24"/>
        </w:rPr>
        <w:t xml:space="preserve"> for a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13.4(6)</w:t>
      </w:r>
      <w:r>
        <w:rPr>
          <w:rFonts w:ascii="Times New Roman" w:hAnsi="Times New Roman"/>
          <w:b w:val="false"/>
          <w:i w:val="false"/>
          <w:color w:val="000000"/>
          <w:sz w:val="24"/>
        </w:rPr>
        <w:t> </w:t>
      </w:r>
      <w:r>
        <w:rPr>
          <w:rFonts w:ascii="Times New Roman" w:hAnsi="Times New Roman"/>
          <w:b w:val="false"/>
          <w:i/>
          <w:color w:val="000000"/>
          <w:sz w:val="24"/>
        </w:rPr>
        <w:t xml:space="preserve">Deadlines. </w:t>
      </w:r>
      <w:r>
        <w:rPr>
          <w:rFonts w:ascii="Times New Roman" w:hAnsi="Times New Roman"/>
          <w:b w:val="false"/>
          <w:i w:val="false"/>
          <w:color w:val="000000"/>
          <w:sz w:val="24"/>
        </w:rPr>
        <w:t>The stipulation must be submitted or a petition filed on or before the dates indicated: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August 1 for contracts that expire January 1 to March 31 of the subsequent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November 1 for contracts that expire April 1 to June 30 of the subsequent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February 1 for contracts that expire July 1 to September 30 of the same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May 1 for contracts that expire October 1 to December 31 of the same year.</w:t>
      </w:r>
    </w:p>
    <w:p>
      <w:pPr>
        <w:spacing w:before="0" w:after="0" w:line="480"/>
        <w:ind w:left="120"/>
        <w:jc w:val="both"/>
      </w:pPr>
      <w:r>
        <w:rPr>
          <w:rFonts w:ascii="Times New Roman" w:hAnsi="Times New Roman"/>
          <w:b/>
          <w:i w:val="false"/>
          <w:color w:val="000000"/>
          <w:sz w:val="24"/>
        </w:rPr>
        <w:t>486—13.5</w:t>
      </w:r>
      <w:r>
        <w:rPr>
          <w:rFonts w:ascii="Times New Roman" w:hAnsi="Times New Roman"/>
          <w:b/>
          <w:i w:val="false"/>
          <w:color w:val="000000"/>
          <w:sz w:val="24"/>
        </w:rPr>
        <w:t xml:space="preserve">(20) </w:t>
      </w:r>
      <w:r>
        <w:rPr>
          <w:rFonts w:ascii="Times New Roman" w:hAnsi="Times New Roman"/>
          <w:b/>
          <w:i w:val="false"/>
          <w:color w:val="000000"/>
          <w:sz w:val="24"/>
        </w:rPr>
        <w:t xml:space="preserve">Voluntary settlement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w:t>
      </w:r>
      <w:r>
        <w:rPr>
          <w:rFonts w:ascii="Times New Roman" w:hAnsi="Times New Roman"/>
          <w:b w:val="false"/>
          <w:i w:val="false"/>
          <w:color w:val="000000"/>
          <w:sz w:val="24"/>
        </w:rPr>
        <w:t> </w:t>
      </w:r>
      <w:r>
        <w:rPr>
          <w:rFonts w:ascii="Times New Roman" w:hAnsi="Times New Roman"/>
          <w:b w:val="false"/>
          <w:i/>
          <w:color w:val="000000"/>
          <w:sz w:val="24"/>
        </w:rPr>
        <w:t xml:space="preserve">Terms made public. </w:t>
      </w:r>
      <w:r>
        <w:rPr>
          <w:rFonts w:ascii="Times New Roman" w:hAnsi="Times New Roman"/>
          <w:b w:val="false"/>
          <w:i w:val="false"/>
          <w:color w:val="000000"/>
          <w:sz w:val="24"/>
        </w:rPr>
        <w:t>Where the parties have reached a proposed (or “tentative”) collective bargaining agreement, the public employer shall make the terms of the agreement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13.5(2)</w:t>
      </w:r>
      <w:r>
        <w:rPr>
          <w:rFonts w:ascii="Times New Roman" w:hAnsi="Times New Roman"/>
          <w:b w:val="false"/>
          <w:i w:val="false"/>
          <w:color w:val="000000"/>
          <w:sz w:val="24"/>
        </w:rPr>
        <w:t> </w:t>
      </w:r>
      <w:r>
        <w:rPr>
          <w:rFonts w:ascii="Times New Roman" w:hAnsi="Times New Roman"/>
          <w:b w:val="false"/>
          <w:i/>
          <w:color w:val="000000"/>
          <w:sz w:val="24"/>
        </w:rPr>
        <w:t xml:space="preserve">Ratification or rejection by employee organization. </w:t>
      </w:r>
      <w:r>
        <w:rPr>
          <w:rFonts w:ascii="Times New Roman" w:hAnsi="Times New Roman"/>
          <w:b w:val="false"/>
          <w:i w:val="false"/>
          <w:color w:val="000000"/>
          <w:sz w:val="24"/>
        </w:rPr>
        <w:t>Within seven days of the date of the tentative agreement, the employee organization shall conduct a ratification election on the proposed collective bargaining agreement. The employee organization shall give reasonable notice of the date, time and place of the election to the public employees; however, such notice shall be at least 24 hours prior to the election. The vote shall be by secret ballot, and the majority of votes cast will determine acceptance or rejection of the proposed collective bargaining agreement. Only members of the employee organization will be entitled to vote; however, the employee organization may, pursuant to its internal procedures, extend voting rights to nonmember bargaining unit employees. The employee organization shall, within 24 hours of the conclusion of the election, serve notice on the public employer as to whether the proposed collective bargaining agreement has been ratified.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13.5(3)</w:t>
      </w:r>
      <w:r>
        <w:rPr>
          <w:rFonts w:ascii="Times New Roman" w:hAnsi="Times New Roman"/>
          <w:b w:val="false"/>
          <w:i w:val="false"/>
          <w:color w:val="000000"/>
          <w:sz w:val="24"/>
        </w:rPr>
        <w:t> </w:t>
      </w:r>
      <w:r>
        <w:rPr>
          <w:rFonts w:ascii="Times New Roman" w:hAnsi="Times New Roman"/>
          <w:b w:val="false"/>
          <w:i/>
          <w:color w:val="000000"/>
          <w:sz w:val="24"/>
        </w:rPr>
        <w:t xml:space="preserve">Acceptance or rejection by public employer. </w:t>
      </w:r>
      <w:r>
        <w:rPr>
          <w:rFonts w:ascii="Times New Roman" w:hAnsi="Times New Roman"/>
          <w:b w:val="false"/>
          <w:i w:val="false"/>
          <w:color w:val="000000"/>
          <w:sz w:val="24"/>
        </w:rPr>
        <w:t>The public employer shall, within ten days of the tentative agreement, likewise accept or reject the proposed collective bargaining agreement and shall within 24 hours of the acceptance or rejection of the proposed collective bargaining agreement serve notice on the employee organization of its acceptance or rejection of the proposed collective bargaining agreement; however, the public employer shall not be required to either accept or reject the proposed collective bargaining agreement if it has been rejected by the employee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w:t>
      </w:r>
      <w:r>
        <w:rPr>
          <w:rFonts w:ascii="Times New Roman" w:hAnsi="Times New Roman"/>
          <w:b w:val="false"/>
          <w:i w:val="false"/>
          <w:color w:val="000000"/>
          <w:sz w:val="24"/>
        </w:rPr>
        <w:t> </w:t>
      </w:r>
      <w:r>
        <w:rPr>
          <w:rFonts w:ascii="Times New Roman" w:hAnsi="Times New Roman"/>
          <w:b w:val="false"/>
          <w:i/>
          <w:color w:val="000000"/>
          <w:sz w:val="24"/>
        </w:rPr>
        <w:t xml:space="preserve">Time limits.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time limits described in subrules </w:t>
      </w:r>
      <w:hyperlink r:id="rId15">
        <w:r>
          <w:rPr>
            <w:rStyle w:val="Hyperlink"/>
            <w:rFonts w:ascii="Times New Roman" w:hAnsi="Times New Roman"/>
            <w:b w:val="false"/>
            <w:i w:val="false"/>
            <w:color w:val="000000"/>
            <w:sz w:val="24"/>
          </w:rPr>
          <w:t>13.5(2)</w:t>
        </w:r>
      </w:hyperlink>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13.5(3)</w:t>
        </w:r>
      </w:hyperlink>
      <w:r>
        <w:rPr>
          <w:rFonts w:ascii="Times New Roman" w:hAnsi="Times New Roman"/>
          <w:b w:val="false"/>
          <w:i w:val="false"/>
          <w:color w:val="000000"/>
          <w:sz w:val="24"/>
        </w:rPr>
        <w:t xml:space="preserve"> may be modified by a written mutual agreement between the public employer and the employee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time limits described in subrules </w:t>
      </w:r>
      <w:hyperlink r:id="rId17">
        <w:r>
          <w:rPr>
            <w:rStyle w:val="Hyperlink"/>
            <w:rFonts w:ascii="Times New Roman" w:hAnsi="Times New Roman"/>
            <w:b w:val="false"/>
            <w:i w:val="false"/>
            <w:color w:val="000000"/>
            <w:sz w:val="24"/>
          </w:rPr>
          <w:t>13.5(2)</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13.5(3)</w:t>
        </w:r>
      </w:hyperlink>
      <w:r>
        <w:rPr>
          <w:rFonts w:ascii="Times New Roman" w:hAnsi="Times New Roman"/>
          <w:b w:val="false"/>
          <w:i w:val="false"/>
          <w:color w:val="000000"/>
          <w:sz w:val="24"/>
        </w:rPr>
        <w:t xml:space="preserve"> shall not apply to proposed agreements between the state and any bargaining unit of state employees.</w:t>
      </w:r>
    </w:p>
    <w:p>
      <w:pPr>
        <w:spacing w:before="210" w:after="0" w:line="480"/>
        <w:ind w:left="120"/>
        <w:jc w:val="both"/>
      </w:pPr>
      <w:r>
        <w:rPr>
          <w:rFonts w:ascii="Times New Roman" w:hAnsi="Times New Roman"/>
          <w:b/>
          <w:i w:val="false"/>
          <w:color w:val="000000"/>
          <w:sz w:val="24"/>
        </w:rPr>
        <w:t>486—13.6</w:t>
      </w:r>
      <w:r>
        <w:rPr>
          <w:rFonts w:ascii="Times New Roman" w:hAnsi="Times New Roman"/>
          <w:b/>
          <w:i w:val="false"/>
          <w:color w:val="000000"/>
          <w:sz w:val="24"/>
        </w:rPr>
        <w:t xml:space="preserve">(20) </w:t>
      </w:r>
      <w:r>
        <w:rPr>
          <w:rFonts w:ascii="Times New Roman" w:hAnsi="Times New Roman"/>
          <w:b/>
          <w:i w:val="false"/>
          <w:color w:val="000000"/>
          <w:sz w:val="24"/>
        </w:rPr>
        <w:t xml:space="preserve">Filing of agreement. </w:t>
      </w:r>
      <w:r>
        <w:rPr>
          <w:rFonts w:ascii="Times New Roman" w:hAnsi="Times New Roman"/>
          <w:b w:val="false"/>
          <w:i w:val="false"/>
          <w:color w:val="000000"/>
          <w:sz w:val="24"/>
        </w:rPr>
        <w:t xml:space="preserve">A public employer shall file a copy of the collective bargaining agreement entered into between the public employer and a certified employee organization and made final under Iowa Code chapter </w:t>
      </w:r>
      <w:hyperlink r:id="rId19">
        <w:r>
          <w:rPr>
            <w:rStyle w:val="Hyperlink"/>
            <w:rFonts w:ascii="Times New Roman" w:hAnsi="Times New Roman"/>
            <w:b w:val="false"/>
            <w:i w:val="false"/>
            <w:color w:val="000000"/>
            <w:sz w:val="24"/>
          </w:rPr>
          <w:t>20</w:t>
        </w:r>
      </w:hyperlink>
      <w:r>
        <w:rPr>
          <w:rFonts w:ascii="Times New Roman" w:hAnsi="Times New Roman"/>
          <w:b w:val="false"/>
          <w:i w:val="false"/>
          <w:color w:val="000000"/>
          <w:sz w:val="24"/>
        </w:rPr>
        <w:t>. Filing must be completed by uploading the collective bargaining agreement into Superb, the appeal board’s database. The certified employee organization will be notified of the filing of the collective bargaining agreement through Superb. The public employer shall file the copy within ten days of the date on which the agreement is entered into.</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0">
        <w:r>
          <w:rPr>
            <w:rStyle w:val="Hyperlink"/>
            <w:rFonts w:ascii="Times New Roman" w:hAnsi="Times New Roman"/>
            <w:b w:val="false"/>
            <w:i w:val="false"/>
            <w:color w:val="000000"/>
            <w:sz w:val="24"/>
          </w:rPr>
          <w:t>20</w:t>
        </w:r>
      </w:hyperlink>
      <w:r>
        <w:rPr>
          <w:rFonts w:ascii="Times New Roman" w:hAnsi="Times New Roman"/>
          <w:b w:val="false"/>
          <w:i w:val="false"/>
          <w:color w:val="000000"/>
          <w:sz w:val="24"/>
        </w:rPr>
        <w:t>.</w:t>
      </w:r>
    </w:p>
    <w:sectPr>
      <w:footerReference r:id="rId2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hxy-euaj-uzq" Type="http://schemas.openxmlformats.org/officeDocument/2006/relationships/hyperlink" Id="rId4"/>
    <Relationship TargetMode="External" Target="mailto:eab.elections@eab.iowa.gov" Type="http://schemas.openxmlformats.org/officeDocument/2006/relationships/hyperlink" Id="rId5"/>
    <Relationship TargetMode="External" Target="https://www.legis.iowa.gov/docs/ico/chapter/20.9.pdf" Type="http://schemas.openxmlformats.org/officeDocument/2006/relationships/hyperlink" Id="rId6"/>
    <Relationship TargetMode="External" Target="https://www.legis.iowa.gov/docs/ico/chapter/20.9.pdf" Type="http://schemas.openxmlformats.org/officeDocument/2006/relationships/hyperlink" Id="rId7"/>
    <Relationship TargetMode="External" Target="https://www.legis.iowa.gov/docs/ico/chapter/20.3.pdf" Type="http://schemas.openxmlformats.org/officeDocument/2006/relationships/hyperlink" Id="rId8"/>
    <Relationship TargetMode="External" Target="https://www.legis.iowa.gov/docs/iac/chapter/486.18.pdf" Type="http://schemas.openxmlformats.org/officeDocument/2006/relationships/hyperlink" Id="rId9"/>
    <Relationship TargetMode="External" Target="https://www.legis.iowa.gov/docs/iac/rule/486.13.4.pdf" Type="http://schemas.openxmlformats.org/officeDocument/2006/relationships/hyperlink" Id="rId10"/>
    <Relationship TargetMode="External" Target="https://www.legis.iowa.gov/docs/iac/chapter/486.18.pdf" Type="http://schemas.openxmlformats.org/officeDocument/2006/relationships/hyperlink" Id="rId11"/>
    <Relationship TargetMode="External" Target="https://www.legis.iowa.gov/docs/iac/rule/486.13.4.pdf" Type="http://schemas.openxmlformats.org/officeDocument/2006/relationships/hyperlink" Id="rId12"/>
    <Relationship TargetMode="External" Target="https://www.legis.iowa.gov/docs/iac/chapter/486.18.pdf" Type="http://schemas.openxmlformats.org/officeDocument/2006/relationships/hyperlink" Id="rId13"/>
    <Relationship TargetMode="External" Target="https://www.legis.iowa.gov/docs/ico/chapter/10A.801.pdf" Type="http://schemas.openxmlformats.org/officeDocument/2006/relationships/hyperlink" Id="rId14"/>
    <Relationship TargetMode="External" Target="https://www.legis.iowa.gov/docs/iac/rule/486.13.5.pdf" Type="http://schemas.openxmlformats.org/officeDocument/2006/relationships/hyperlink" Id="rId15"/>
    <Relationship TargetMode="External" Target="https://www.legis.iowa.gov/docs/iac/rule/486.13.5.pdf" Type="http://schemas.openxmlformats.org/officeDocument/2006/relationships/hyperlink" Id="rId16"/>
    <Relationship TargetMode="External" Target="https://www.legis.iowa.gov/docs/iac/rule/486.13.5.pdf" Type="http://schemas.openxmlformats.org/officeDocument/2006/relationships/hyperlink" Id="rId17"/>
    <Relationship TargetMode="External" Target="https://www.legis.iowa.gov/docs/iac/rule/486.13.5.pdf" Type="http://schemas.openxmlformats.org/officeDocument/2006/relationships/hyperlink" Id="rId18"/>
    <Relationship TargetMode="External" Target="https://www.legis.iowa.gov/docs/ico/chapter/20.pdf" Type="http://schemas.openxmlformats.org/officeDocument/2006/relationships/hyperlink" Id="rId19"/>
    <Relationship TargetMode="External" Target="https://www.legis.iowa.gov/docs/ico/chapter/20.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